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9B8" w:rsidRDefault="00F059B8" w:rsidP="001B18E7">
      <w:pPr>
        <w:jc w:val="right"/>
        <w:rPr>
          <w:b/>
        </w:rPr>
      </w:pPr>
      <w:r>
        <w:rPr>
          <w:b/>
        </w:rPr>
        <w:t>OPZ – załącznik numer 2 do 13 /ZO/2025</w:t>
      </w:r>
    </w:p>
    <w:p w:rsidR="00F059B8" w:rsidRDefault="00F059B8">
      <w:pPr>
        <w:rPr>
          <w:b/>
        </w:rPr>
      </w:pPr>
    </w:p>
    <w:p w:rsidR="00F059B8" w:rsidRPr="002D0832" w:rsidRDefault="00F059B8" w:rsidP="00CE1B2B">
      <w:pPr>
        <w:numPr>
          <w:ilvl w:val="0"/>
          <w:numId w:val="3"/>
        </w:numPr>
        <w:rPr>
          <w:b/>
        </w:rPr>
      </w:pPr>
      <w:r w:rsidRPr="002D0832">
        <w:rPr>
          <w:b/>
        </w:rPr>
        <w:t>Opis przedmiotu zamówienia</w:t>
      </w:r>
    </w:p>
    <w:p w:rsidR="00F059B8" w:rsidRPr="00800A70" w:rsidRDefault="00F059B8" w:rsidP="00800A70">
      <w:pPr>
        <w:numPr>
          <w:ilvl w:val="2"/>
          <w:numId w:val="3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mbria" w:hAnsi="Cambria"/>
          <w:kern w:val="0"/>
          <w:lang w:eastAsia="pl-PL"/>
        </w:rPr>
      </w:pPr>
      <w:bookmarkStart w:id="0" w:name="_Hlk163435532"/>
      <w:r>
        <w:t xml:space="preserve">Wymiana wyłączników masterpact M12N w kotłowni  przy ulicy Szpitalnej 45 </w:t>
      </w:r>
      <w:bookmarkEnd w:id="0"/>
      <w:r>
        <w:t xml:space="preserve"> będzie polegała  na dostawie i wymianie  na nowe głównych wyłączników w polach zasilających ( I  i  II sekcja) oraz polu  sprzęgłowym wraz z przełącznikiem samoczynnego załączania rezerwy (SZR) w rozdzielnicy R13</w:t>
      </w:r>
    </w:p>
    <w:p w:rsidR="00F059B8" w:rsidRPr="00E41A36" w:rsidRDefault="00F059B8" w:rsidP="00800A70">
      <w:pPr>
        <w:numPr>
          <w:ilvl w:val="2"/>
          <w:numId w:val="3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Calibri"/>
          <w:kern w:val="0"/>
          <w:lang w:eastAsia="pl-PL"/>
        </w:rPr>
      </w:pPr>
      <w:r w:rsidRPr="00E41A36">
        <w:rPr>
          <w:rFonts w:cs="Calibri"/>
          <w:color w:val="000000"/>
          <w:kern w:val="0"/>
          <w:lang w:eastAsia="pl-PL"/>
        </w:rPr>
        <w:t>Wykonanie dokumentacji technicznej</w:t>
      </w:r>
      <w:r>
        <w:rPr>
          <w:rFonts w:cs="Calibri"/>
          <w:color w:val="000000"/>
          <w:kern w:val="0"/>
          <w:lang w:eastAsia="pl-PL"/>
        </w:rPr>
        <w:t xml:space="preserve"> (projekt wykonawczy i powykonawczy)</w:t>
      </w:r>
      <w:r w:rsidRPr="00E41A36">
        <w:rPr>
          <w:rFonts w:cs="Calibri"/>
          <w:color w:val="000000"/>
          <w:kern w:val="0"/>
          <w:lang w:eastAsia="pl-PL"/>
        </w:rPr>
        <w:t xml:space="preserve"> według obowiązujących </w:t>
      </w:r>
      <w:r>
        <w:rPr>
          <w:rFonts w:cs="Calibri"/>
          <w:color w:val="000000"/>
          <w:kern w:val="0"/>
          <w:lang w:eastAsia="pl-PL"/>
        </w:rPr>
        <w:t xml:space="preserve">norm i </w:t>
      </w:r>
      <w:r w:rsidRPr="00E41A36">
        <w:rPr>
          <w:rFonts w:cs="Calibri"/>
          <w:color w:val="000000"/>
          <w:kern w:val="0"/>
          <w:lang w:eastAsia="pl-PL"/>
        </w:rPr>
        <w:t>przepisów</w:t>
      </w:r>
      <w:r>
        <w:rPr>
          <w:rFonts w:cs="Calibri"/>
          <w:color w:val="000000"/>
          <w:kern w:val="0"/>
          <w:lang w:eastAsia="pl-PL"/>
        </w:rPr>
        <w:t xml:space="preserve"> </w:t>
      </w:r>
    </w:p>
    <w:p w:rsidR="00F059B8" w:rsidRPr="00800A70" w:rsidRDefault="00F059B8" w:rsidP="00800A70">
      <w:pPr>
        <w:widowControl w:val="0"/>
        <w:numPr>
          <w:ilvl w:val="2"/>
          <w:numId w:val="3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Calibri"/>
          <w:color w:val="000000"/>
          <w:kern w:val="0"/>
          <w:lang w:eastAsia="pl-PL"/>
        </w:rPr>
      </w:pPr>
      <w:r w:rsidRPr="00800A70">
        <w:rPr>
          <w:rFonts w:cs="Calibri"/>
          <w:color w:val="000000"/>
          <w:kern w:val="0"/>
          <w:lang w:eastAsia="pl-PL"/>
        </w:rPr>
        <w:t xml:space="preserve">Wykonanie </w:t>
      </w:r>
      <w:r>
        <w:rPr>
          <w:rFonts w:cs="Calibri"/>
          <w:color w:val="000000"/>
          <w:kern w:val="0"/>
          <w:lang w:eastAsia="pl-PL"/>
        </w:rPr>
        <w:t xml:space="preserve">wszystkich prac </w:t>
      </w:r>
      <w:r w:rsidRPr="00800A70">
        <w:rPr>
          <w:rFonts w:cs="Calibri"/>
          <w:color w:val="000000"/>
          <w:kern w:val="0"/>
          <w:lang w:eastAsia="pl-PL"/>
        </w:rPr>
        <w:t>zgodnie z zatwierdzoną przez Zamawiającego dokumentacją i DTR remontowa</w:t>
      </w:r>
      <w:r>
        <w:rPr>
          <w:rFonts w:cs="Calibri"/>
          <w:color w:val="000000"/>
          <w:kern w:val="0"/>
          <w:lang w:eastAsia="pl-PL"/>
        </w:rPr>
        <w:t>nej rozdzielnicy R13</w:t>
      </w:r>
      <w:r w:rsidRPr="00800A70">
        <w:rPr>
          <w:rFonts w:cs="Calibri"/>
          <w:color w:val="000000"/>
          <w:kern w:val="0"/>
          <w:lang w:eastAsia="pl-PL"/>
        </w:rPr>
        <w:t>.</w:t>
      </w:r>
    </w:p>
    <w:p w:rsidR="00F059B8" w:rsidRPr="00800A70" w:rsidRDefault="00F059B8" w:rsidP="00800A70">
      <w:pPr>
        <w:widowControl w:val="0"/>
        <w:numPr>
          <w:ilvl w:val="2"/>
          <w:numId w:val="3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Calibri"/>
          <w:color w:val="000000"/>
          <w:kern w:val="0"/>
          <w:lang w:eastAsia="pl-PL"/>
        </w:rPr>
      </w:pPr>
      <w:r w:rsidRPr="00800A70">
        <w:rPr>
          <w:rFonts w:cs="Calibri"/>
          <w:color w:val="000000"/>
          <w:kern w:val="0"/>
          <w:lang w:eastAsia="pl-PL"/>
        </w:rPr>
        <w:t xml:space="preserve">Przygotowanie dokumentacji odbiorowej i wspólnie z </w:t>
      </w:r>
      <w:r>
        <w:rPr>
          <w:rFonts w:cs="Calibri"/>
          <w:color w:val="000000"/>
          <w:kern w:val="0"/>
          <w:lang w:eastAsia="pl-PL"/>
        </w:rPr>
        <w:t>Zamawiającym</w:t>
      </w:r>
      <w:r w:rsidRPr="00800A70">
        <w:rPr>
          <w:rFonts w:cs="Calibri"/>
          <w:color w:val="000000"/>
          <w:kern w:val="0"/>
          <w:lang w:eastAsia="pl-PL"/>
        </w:rPr>
        <w:t xml:space="preserve"> dokonanie odbior</w:t>
      </w:r>
      <w:r>
        <w:rPr>
          <w:rFonts w:cs="Calibri"/>
          <w:color w:val="000000"/>
          <w:kern w:val="0"/>
          <w:lang w:eastAsia="pl-PL"/>
        </w:rPr>
        <w:t>u</w:t>
      </w:r>
    </w:p>
    <w:p w:rsidR="00F059B8" w:rsidRDefault="00F059B8" w:rsidP="00DF1DC1">
      <w:pPr>
        <w:spacing w:after="0"/>
      </w:pPr>
    </w:p>
    <w:p w:rsidR="00F059B8" w:rsidRDefault="00F059B8" w:rsidP="00DF1DC1">
      <w:pPr>
        <w:spacing w:after="0"/>
      </w:pPr>
      <w:r>
        <w:t xml:space="preserve">      </w:t>
      </w:r>
      <w:r w:rsidRPr="00AF5A9D">
        <w:rPr>
          <w:u w:val="single"/>
        </w:rPr>
        <w:t>Zakres prac modernizacyjnych</w:t>
      </w:r>
      <w:r>
        <w:t>:</w:t>
      </w:r>
    </w:p>
    <w:p w:rsidR="00F059B8" w:rsidRDefault="00F059B8" w:rsidP="00BC1A2D">
      <w:pPr>
        <w:numPr>
          <w:ilvl w:val="0"/>
          <w:numId w:val="4"/>
        </w:numPr>
        <w:spacing w:after="0"/>
      </w:pPr>
      <w:r>
        <w:t xml:space="preserve">Dostawa i wymiana głównych wyłączników n.n  o prądzie znamionowym </w:t>
      </w:r>
      <w:smartTag w:uri="urn:schemas-microsoft-com:office:smarttags" w:element="metricconverter">
        <w:smartTagPr>
          <w:attr w:name="ProductID" w:val="1200 A"/>
        </w:smartTagPr>
        <w:r>
          <w:t>1200 A</w:t>
        </w:r>
      </w:smartTag>
      <w:r>
        <w:t xml:space="preserve"> (3 szt)  w polach zasilających i polu sprzęgłowym, pracujących w układzie SZR-a</w:t>
      </w:r>
    </w:p>
    <w:p w:rsidR="00F059B8" w:rsidRDefault="00F059B8" w:rsidP="00BC1A2D">
      <w:pPr>
        <w:numPr>
          <w:ilvl w:val="0"/>
          <w:numId w:val="4"/>
        </w:numPr>
        <w:spacing w:after="0"/>
      </w:pPr>
      <w:r>
        <w:t>Dostawa i wymiana przełącznika samoczynnego załączania rezerwy (SZR)</w:t>
      </w:r>
    </w:p>
    <w:p w:rsidR="00F059B8" w:rsidRDefault="00F059B8" w:rsidP="00BC1A2D">
      <w:pPr>
        <w:numPr>
          <w:ilvl w:val="0"/>
          <w:numId w:val="4"/>
        </w:numPr>
        <w:spacing w:after="0"/>
      </w:pPr>
      <w:r>
        <w:t>Wykonanie nowych instalacji stosownych do nowych wyłączników i  przełącznika SZR z odpowiednią sygnalizacją i układem umożliwiającym odstawienia automatyki i przejścia na sterowanie ręczne.</w:t>
      </w:r>
    </w:p>
    <w:p w:rsidR="00F059B8" w:rsidRDefault="00F059B8" w:rsidP="00BC1A2D">
      <w:pPr>
        <w:numPr>
          <w:ilvl w:val="0"/>
          <w:numId w:val="4"/>
        </w:numPr>
        <w:spacing w:after="0"/>
      </w:pPr>
      <w:r>
        <w:t>W układzie sterowania  SZR-a wykonać wyprowadzenie do dwóch przycisków  P-POŻ  awaryjne wyłączenie rozdzielnicy</w:t>
      </w:r>
    </w:p>
    <w:p w:rsidR="00F059B8" w:rsidRDefault="00F059B8" w:rsidP="00BC1A2D">
      <w:pPr>
        <w:numPr>
          <w:ilvl w:val="0"/>
          <w:numId w:val="4"/>
        </w:numPr>
        <w:spacing w:after="0"/>
      </w:pPr>
      <w:r>
        <w:t>Dokonanie stosownych nastaw,  regulacji i prób poprawnego działania nowego układu zasilającego rozdzielnię</w:t>
      </w:r>
    </w:p>
    <w:p w:rsidR="00F059B8" w:rsidRDefault="00F059B8" w:rsidP="00DE5C51">
      <w:pPr>
        <w:numPr>
          <w:ilvl w:val="0"/>
          <w:numId w:val="4"/>
        </w:numPr>
        <w:spacing w:after="0"/>
      </w:pPr>
      <w:r>
        <w:t xml:space="preserve">Wykonanie wszystkich niezbędnych pomiarów elektrycznych (protokoły pomiarowe) </w:t>
      </w:r>
    </w:p>
    <w:p w:rsidR="00F059B8" w:rsidRDefault="00F059B8" w:rsidP="002676BF">
      <w:pPr>
        <w:numPr>
          <w:ilvl w:val="0"/>
          <w:numId w:val="4"/>
        </w:numPr>
        <w:spacing w:after="0"/>
      </w:pPr>
      <w:r>
        <w:t>Przeprowadzenie szkolenia pracowników szpitala w zakresie obsługi nowego układu zasilania</w:t>
      </w:r>
    </w:p>
    <w:p w:rsidR="00F059B8" w:rsidRDefault="00F059B8" w:rsidP="0073724A">
      <w:pPr>
        <w:spacing w:after="0"/>
      </w:pPr>
    </w:p>
    <w:p w:rsidR="00F059B8" w:rsidRPr="00CE1B2B" w:rsidRDefault="00F059B8" w:rsidP="00CE1B2B">
      <w:pPr>
        <w:widowControl w:val="0"/>
        <w:numPr>
          <w:ilvl w:val="0"/>
          <w:numId w:val="3"/>
        </w:numPr>
        <w:suppressAutoHyphens/>
        <w:spacing w:after="0" w:line="276" w:lineRule="auto"/>
        <w:ind w:left="426" w:hanging="426"/>
        <w:jc w:val="both"/>
        <w:rPr>
          <w:rFonts w:cs="Calibri"/>
          <w:color w:val="000000"/>
          <w:kern w:val="0"/>
          <w:lang w:eastAsia="pl-PL"/>
        </w:rPr>
      </w:pPr>
      <w:r w:rsidRPr="00CE1B2B">
        <w:rPr>
          <w:rFonts w:cs="Calibri"/>
          <w:color w:val="000000"/>
          <w:kern w:val="0"/>
          <w:lang w:eastAsia="pl-PL"/>
        </w:rPr>
        <w:t xml:space="preserve">Przedmiot zamówienia należy wykonać zgodnie z Polskimi Normami, z aktualnie obowiązującymi w danym zakresie przepisami prawa, w tym przepisami ustawy Prawo Budowlane, przepisami BHP i Ppoż, normami, wiedzą i sztuką budowlaną. Przedmiot zamówienia należy wykonać wyłącznie z materiałów nowych dopuszczonych do obrotu </w:t>
      </w:r>
      <w:r w:rsidRPr="00CE1B2B">
        <w:rPr>
          <w:rFonts w:cs="Calibri"/>
          <w:color w:val="000000"/>
          <w:kern w:val="0"/>
          <w:lang w:eastAsia="pl-PL"/>
        </w:rPr>
        <w:br/>
        <w:t>i stosowania w budownictwie na terenie Polski i Unii Europejskiej. Materiały muszą posiadać aprobaty techniczne i niezbędne certyfikaty, atesty, itp.</w:t>
      </w:r>
    </w:p>
    <w:p w:rsidR="00F059B8" w:rsidRPr="00CE1B2B" w:rsidRDefault="00F059B8" w:rsidP="00CE1B2B">
      <w:pPr>
        <w:widowControl w:val="0"/>
        <w:suppressAutoHyphens/>
        <w:spacing w:after="0" w:line="276" w:lineRule="auto"/>
        <w:ind w:left="426"/>
        <w:jc w:val="both"/>
        <w:rPr>
          <w:rFonts w:cs="Calibri"/>
          <w:color w:val="000000"/>
          <w:kern w:val="0"/>
          <w:lang w:eastAsia="pl-PL"/>
        </w:rPr>
      </w:pPr>
    </w:p>
    <w:p w:rsidR="00F059B8" w:rsidRPr="00CE1B2B" w:rsidRDefault="00F059B8" w:rsidP="00CE1B2B">
      <w:pPr>
        <w:widowControl w:val="0"/>
        <w:numPr>
          <w:ilvl w:val="0"/>
          <w:numId w:val="3"/>
        </w:numPr>
        <w:suppressAutoHyphens/>
        <w:spacing w:after="0" w:line="276" w:lineRule="auto"/>
        <w:ind w:left="426" w:hanging="426"/>
        <w:jc w:val="both"/>
        <w:rPr>
          <w:rFonts w:cs="Calibri"/>
          <w:color w:val="000000"/>
          <w:kern w:val="0"/>
          <w:lang w:eastAsia="pl-PL"/>
        </w:rPr>
      </w:pPr>
      <w:r w:rsidRPr="00CE1B2B">
        <w:rPr>
          <w:rFonts w:cs="Calibri"/>
          <w:color w:val="000000"/>
          <w:kern w:val="0"/>
          <w:lang w:eastAsia="pl-PL"/>
        </w:rPr>
        <w:t xml:space="preserve">Zamawiający informuje, że Wykonawca przy wyliczaniu ceny ofertowej, która jest </w:t>
      </w:r>
      <w:r w:rsidRPr="00CE1B2B">
        <w:rPr>
          <w:rFonts w:cs="Calibri"/>
          <w:b/>
          <w:color w:val="000000"/>
          <w:kern w:val="0"/>
          <w:u w:val="single"/>
          <w:lang w:eastAsia="pl-PL"/>
        </w:rPr>
        <w:t>ceną ryczałtową</w:t>
      </w:r>
      <w:r w:rsidRPr="00CE1B2B">
        <w:rPr>
          <w:rFonts w:cs="Calibri"/>
          <w:color w:val="000000"/>
          <w:kern w:val="0"/>
          <w:lang w:eastAsia="pl-PL"/>
        </w:rPr>
        <w:t xml:space="preserve">, niepodlegającą waloryzacji, powinien uwzględnić wszystkie nakłady, które są niezbędne do wykonania opisanego w </w:t>
      </w:r>
      <w:r>
        <w:rPr>
          <w:rFonts w:cs="Calibri"/>
          <w:color w:val="000000"/>
          <w:kern w:val="0"/>
          <w:lang w:eastAsia="pl-PL"/>
        </w:rPr>
        <w:t>opisie</w:t>
      </w:r>
      <w:r w:rsidRPr="00CE1B2B">
        <w:rPr>
          <w:rFonts w:cs="Calibri"/>
          <w:color w:val="000000"/>
          <w:kern w:val="0"/>
          <w:lang w:eastAsia="pl-PL"/>
        </w:rPr>
        <w:t xml:space="preserve"> – przedmiotu zamówienia. Wykonawca zobowiązany jest na podstawie całej dokumentacji, samodzielnie opracować przedmiar robót i przeanalizować wszystkie pozostałe dokumenty składające się na całą dokumentację i dokonać stosownych wyliczeń na potrzeby oferty, którą zamierza złożyć.</w:t>
      </w:r>
    </w:p>
    <w:p w:rsidR="00F059B8" w:rsidRPr="00CE1B2B" w:rsidRDefault="00F059B8" w:rsidP="00CE1B2B">
      <w:pPr>
        <w:widowControl w:val="0"/>
        <w:numPr>
          <w:ilvl w:val="0"/>
          <w:numId w:val="3"/>
        </w:numPr>
        <w:suppressAutoHyphens/>
        <w:spacing w:after="0" w:line="276" w:lineRule="auto"/>
        <w:ind w:left="426" w:hanging="426"/>
        <w:jc w:val="both"/>
        <w:rPr>
          <w:rFonts w:cs="Calibri"/>
          <w:color w:val="000000"/>
          <w:kern w:val="0"/>
          <w:lang w:eastAsia="pl-PL"/>
        </w:rPr>
      </w:pPr>
      <w:r w:rsidRPr="00CE1B2B">
        <w:rPr>
          <w:rFonts w:cs="Calibri"/>
          <w:color w:val="000000"/>
          <w:kern w:val="0"/>
          <w:lang w:eastAsia="pl-PL"/>
        </w:rPr>
        <w:t xml:space="preserve">Wskazane w dokumentach znaki towarowe, nazwy własne, itp. – stanowią wyłącznie wzorzec jakościowy, funkcjonalny, techniczny i technologiczny dotyczący przedmiotu zamówienia. </w:t>
      </w:r>
      <w:r w:rsidRPr="00CE1B2B">
        <w:rPr>
          <w:rFonts w:cs="Calibri"/>
          <w:color w:val="000000"/>
          <w:kern w:val="0"/>
          <w:lang w:eastAsia="pl-PL"/>
        </w:rPr>
        <w:br/>
        <w:t>We wszystkich przypadkach, w których ze względu na specyfikację przedmiotu zamówienia wskazano pochodzenie, nazwy materiałów, urządzeń, lub ich pochodzenie, dopuszcza się stosowanie materiałów, urządzeń równoważnych, tj. wszelkie wymienione z nazwy materiały, urządzenia użyte w przekazanej przez Zamawiającego dokumentacji lub ich pochodzenie, służą wyłącznie określeniu standardu i mogą być zastąpione innymi o nie gorszych parametrach technicznych, użytkowych, jakościowych, funkcjonalnych i walorach estetycznych, przy uwzględnieniu prawidłowej współpracy z pozostałymi materiałami, urządzeniami. Użyte w dokumentacji zamówienia nazwy, które wskazują lub mogłyby kojarzyć się z producentem lub firmą, nie mają na celu preferowanie rozwiązań danego producenta lecz wskazanie na rozwiązanie, które powinno posiadać cechy techniczne, technologiczne nie gorsze od podanych w dokumentacji technicznej. Zamawiający w przypadku ofert zawierających rozwiązania równoważne będzie je weryfikować pod względem spełniania wymogów poszczególnych pozycji wymagań technicznych  zawartych w załącznikach do Specyfikacji. Wykonawca zobowiązany jest udowodnić w ofercie równoważność oferowanych urządzeń lub systemów. Ciężar udowodnienia równoważności jest obowiązkiem Wykonawcy. Zamawiający nie uzna rozwiązań równoważnych, jeśli będą o gorszych niż wskazane w załącznikach do Specyfikacji minimalnych wymaganiach jakościowych, funkcjonalnych, technicznych i technologicznych.</w:t>
      </w:r>
    </w:p>
    <w:p w:rsidR="00F059B8" w:rsidRPr="00CE1B2B" w:rsidRDefault="00F059B8" w:rsidP="00CE1B2B">
      <w:pPr>
        <w:widowControl w:val="0"/>
        <w:numPr>
          <w:ilvl w:val="0"/>
          <w:numId w:val="3"/>
        </w:numPr>
        <w:suppressAutoHyphens/>
        <w:spacing w:after="0" w:line="276" w:lineRule="auto"/>
        <w:ind w:left="426" w:hanging="426"/>
        <w:jc w:val="both"/>
        <w:rPr>
          <w:rFonts w:cs="Calibri"/>
          <w:color w:val="000000"/>
          <w:kern w:val="0"/>
          <w:lang w:eastAsia="pl-PL"/>
        </w:rPr>
      </w:pPr>
      <w:r w:rsidRPr="00CE1B2B">
        <w:rPr>
          <w:rFonts w:cs="Calibri"/>
          <w:color w:val="000000"/>
          <w:kern w:val="0"/>
          <w:lang w:eastAsia="pl-PL"/>
        </w:rPr>
        <w:t xml:space="preserve">Zamieszczone w dokumentacjach projektowych, specyfikacjach technicznych lub innych dokumentach, wymienione nazwy producentów (jeśli takie się pojawią) użyto jedynie w celu przykładowym. Ewentualnie wskazane nazwy produktów oraz ich producentów nie mają na celu naruszenie zasady uczciwej konkurencji i równego traktowania wykonawców. Wszędzie gdzie są one wskazane, należy czytać w ten sposób, że towarzyszy im określenie „lub równoważne”. Przez pojęcie „lub równoważne” Zamawiający rozumie oferowanie materiałów gwarantujących realizację zadania zapewniających uzyskanie parametrów technicznych nie gorszych od założonych w wyżej wymienionych dokumentach. Zastosowanie rozwiązań równoważnych nie może prowadzić do pogorszenia właściwości przedmiotu zamówienia w stosunku do przewidzianych w dokumentacji technicznej, ani do zmiany ceny, ani do naruszenia przepisów prawa. </w:t>
      </w:r>
    </w:p>
    <w:p w:rsidR="00F059B8" w:rsidRPr="00CE1B2B" w:rsidRDefault="00F059B8" w:rsidP="00CE1B2B">
      <w:pPr>
        <w:widowControl w:val="0"/>
        <w:numPr>
          <w:ilvl w:val="0"/>
          <w:numId w:val="3"/>
        </w:numPr>
        <w:suppressAutoHyphens/>
        <w:spacing w:after="0" w:line="276" w:lineRule="auto"/>
        <w:ind w:left="426" w:hanging="426"/>
        <w:jc w:val="both"/>
        <w:rPr>
          <w:rFonts w:cs="Calibri"/>
          <w:color w:val="000000"/>
          <w:kern w:val="0"/>
          <w:lang w:eastAsia="pl-PL"/>
        </w:rPr>
      </w:pPr>
      <w:r w:rsidRPr="00CE1B2B">
        <w:rPr>
          <w:rFonts w:cs="Calibri"/>
          <w:color w:val="000000"/>
          <w:kern w:val="0"/>
          <w:lang w:eastAsia="pl-PL"/>
        </w:rPr>
        <w:t>Jednocześnie wymogi muszą być spełnione w zakresie:</w:t>
      </w:r>
    </w:p>
    <w:p w:rsidR="00F059B8" w:rsidRPr="00CE1B2B" w:rsidRDefault="00F059B8" w:rsidP="00CE1B2B">
      <w:pPr>
        <w:widowControl w:val="0"/>
        <w:numPr>
          <w:ilvl w:val="1"/>
          <w:numId w:val="3"/>
        </w:numPr>
        <w:suppressAutoHyphens/>
        <w:spacing w:after="0" w:line="276" w:lineRule="auto"/>
        <w:ind w:left="851" w:hanging="425"/>
        <w:jc w:val="both"/>
        <w:rPr>
          <w:rFonts w:cs="Calibri"/>
          <w:color w:val="000000"/>
          <w:kern w:val="0"/>
          <w:lang w:eastAsia="pl-PL"/>
        </w:rPr>
      </w:pPr>
      <w:r w:rsidRPr="00CE1B2B">
        <w:rPr>
          <w:rFonts w:cs="Calibri"/>
          <w:color w:val="000000"/>
          <w:kern w:val="0"/>
          <w:lang w:eastAsia="pl-PL"/>
        </w:rPr>
        <w:t>gabarytów i konstrukcji (wielkość, rodzaj, właściwości fizyczne oraz liczba elementów  składowych);</w:t>
      </w:r>
    </w:p>
    <w:p w:rsidR="00F059B8" w:rsidRPr="00CE1B2B" w:rsidRDefault="00F059B8" w:rsidP="00CE1B2B">
      <w:pPr>
        <w:widowControl w:val="0"/>
        <w:numPr>
          <w:ilvl w:val="1"/>
          <w:numId w:val="3"/>
        </w:numPr>
        <w:suppressAutoHyphens/>
        <w:spacing w:after="0" w:line="276" w:lineRule="auto"/>
        <w:ind w:left="851" w:hanging="425"/>
        <w:jc w:val="both"/>
        <w:rPr>
          <w:rFonts w:cs="Calibri"/>
          <w:color w:val="000000"/>
          <w:kern w:val="0"/>
          <w:lang w:eastAsia="pl-PL"/>
        </w:rPr>
      </w:pPr>
      <w:r w:rsidRPr="00CE1B2B">
        <w:rPr>
          <w:rFonts w:cs="Calibri"/>
          <w:color w:val="000000"/>
          <w:kern w:val="0"/>
          <w:lang w:eastAsia="pl-PL"/>
        </w:rPr>
        <w:t>charakteru użytkowego (tożsamość funkcji);</w:t>
      </w:r>
    </w:p>
    <w:p w:rsidR="00F059B8" w:rsidRPr="00CE1B2B" w:rsidRDefault="00F059B8" w:rsidP="00CE1B2B">
      <w:pPr>
        <w:widowControl w:val="0"/>
        <w:numPr>
          <w:ilvl w:val="1"/>
          <w:numId w:val="3"/>
        </w:numPr>
        <w:suppressAutoHyphens/>
        <w:spacing w:after="0" w:line="276" w:lineRule="auto"/>
        <w:ind w:left="851" w:hanging="425"/>
        <w:jc w:val="both"/>
        <w:rPr>
          <w:rFonts w:cs="Calibri"/>
          <w:color w:val="000000"/>
          <w:kern w:val="0"/>
          <w:lang w:eastAsia="pl-PL"/>
        </w:rPr>
      </w:pPr>
      <w:r w:rsidRPr="00CE1B2B">
        <w:rPr>
          <w:rFonts w:cs="Calibri"/>
          <w:color w:val="000000"/>
          <w:kern w:val="0"/>
          <w:lang w:eastAsia="pl-PL"/>
        </w:rPr>
        <w:t>parametrów technicznych (wytrzymałość, trwałość, dane techniczne, konstrukcje);</w:t>
      </w:r>
    </w:p>
    <w:p w:rsidR="00F059B8" w:rsidRPr="00CE1B2B" w:rsidRDefault="00F059B8" w:rsidP="00CE1B2B">
      <w:pPr>
        <w:widowControl w:val="0"/>
        <w:numPr>
          <w:ilvl w:val="1"/>
          <w:numId w:val="3"/>
        </w:numPr>
        <w:suppressAutoHyphens/>
        <w:spacing w:after="0" w:line="276" w:lineRule="auto"/>
        <w:ind w:left="851" w:hanging="425"/>
        <w:jc w:val="both"/>
        <w:rPr>
          <w:rFonts w:cs="Calibri"/>
          <w:color w:val="000000"/>
          <w:kern w:val="0"/>
          <w:lang w:eastAsia="pl-PL"/>
        </w:rPr>
      </w:pPr>
      <w:r w:rsidRPr="00CE1B2B">
        <w:rPr>
          <w:rFonts w:cs="Calibri"/>
          <w:color w:val="000000"/>
          <w:kern w:val="0"/>
          <w:lang w:eastAsia="pl-PL"/>
        </w:rPr>
        <w:t>parametrów bezpieczeństwa użytkowania;</w:t>
      </w:r>
    </w:p>
    <w:p w:rsidR="00F059B8" w:rsidRPr="00CE1B2B" w:rsidRDefault="00F059B8" w:rsidP="00CE1B2B">
      <w:pPr>
        <w:widowControl w:val="0"/>
        <w:numPr>
          <w:ilvl w:val="1"/>
          <w:numId w:val="3"/>
        </w:numPr>
        <w:suppressAutoHyphens/>
        <w:spacing w:after="0" w:line="276" w:lineRule="auto"/>
        <w:ind w:left="851" w:hanging="425"/>
        <w:jc w:val="both"/>
        <w:rPr>
          <w:rFonts w:cs="Calibri"/>
          <w:color w:val="000000"/>
          <w:kern w:val="0"/>
          <w:lang w:eastAsia="pl-PL"/>
        </w:rPr>
      </w:pPr>
      <w:r w:rsidRPr="00CE1B2B">
        <w:rPr>
          <w:rFonts w:cs="Calibri"/>
          <w:color w:val="000000"/>
          <w:kern w:val="0"/>
          <w:lang w:eastAsia="pl-PL"/>
        </w:rPr>
        <w:t>standardów emisyjnych.</w:t>
      </w:r>
    </w:p>
    <w:p w:rsidR="00F059B8" w:rsidRPr="00CE1B2B" w:rsidRDefault="00F059B8" w:rsidP="00CE1B2B">
      <w:pPr>
        <w:widowControl w:val="0"/>
        <w:numPr>
          <w:ilvl w:val="0"/>
          <w:numId w:val="3"/>
        </w:numPr>
        <w:suppressAutoHyphens/>
        <w:spacing w:after="0" w:line="276" w:lineRule="auto"/>
        <w:ind w:left="426" w:hanging="426"/>
        <w:jc w:val="both"/>
        <w:rPr>
          <w:rFonts w:cs="Calibri"/>
          <w:color w:val="000000"/>
          <w:kern w:val="0"/>
          <w:lang w:eastAsia="pl-PL"/>
        </w:rPr>
      </w:pPr>
      <w:r w:rsidRPr="00CE1B2B">
        <w:rPr>
          <w:rFonts w:cs="Calibri"/>
          <w:color w:val="000000"/>
          <w:kern w:val="0"/>
          <w:lang w:eastAsia="pl-PL"/>
        </w:rPr>
        <w:t>Pojęcie równoważności znajduje również zastosowanie w przypadku, gdy Zamawiający opisał Przedmiot Zamówienia za pomocą NORM, aprobat, specyfikacji technicznych i systemów odniesienia.</w:t>
      </w:r>
    </w:p>
    <w:p w:rsidR="00F059B8" w:rsidRDefault="00F059B8" w:rsidP="00CE1B2B">
      <w:pPr>
        <w:spacing w:after="0"/>
        <w:rPr>
          <w:rFonts w:cs="Calibri"/>
          <w:color w:val="000000"/>
          <w:kern w:val="0"/>
          <w:lang w:eastAsia="pl-PL"/>
        </w:rPr>
      </w:pPr>
      <w:r w:rsidRPr="00401BC5">
        <w:rPr>
          <w:rFonts w:cs="Calibri"/>
          <w:b/>
          <w:bCs/>
          <w:color w:val="000000"/>
          <w:kern w:val="0"/>
          <w:lang w:eastAsia="pl-PL"/>
        </w:rPr>
        <w:t xml:space="preserve">Przed przygotowaniem i złożeniem oferty </w:t>
      </w:r>
      <w:r w:rsidRPr="00401BC5">
        <w:rPr>
          <w:rFonts w:cs="Calibri"/>
          <w:b/>
          <w:bCs/>
          <w:kern w:val="0"/>
          <w:lang w:eastAsia="pl-PL"/>
        </w:rPr>
        <w:t>zaleca się odbycie przez wykonawcę wizji lokalnej</w:t>
      </w:r>
      <w:r w:rsidRPr="00401BC5">
        <w:rPr>
          <w:rFonts w:cs="Calibri"/>
          <w:b/>
          <w:bCs/>
          <w:color w:val="000000"/>
          <w:kern w:val="0"/>
          <w:lang w:eastAsia="pl-PL"/>
        </w:rPr>
        <w:t xml:space="preserve"> przyszłego miejsca wykonywania przedmiotu zamówienia</w:t>
      </w:r>
      <w:r w:rsidRPr="00CE1B2B">
        <w:rPr>
          <w:rFonts w:cs="Calibri"/>
          <w:color w:val="000000"/>
          <w:kern w:val="0"/>
          <w:lang w:eastAsia="pl-PL"/>
        </w:rPr>
        <w:t>. Wizja lokalna umożliwi Wykonawcom uzyskanie informacji przydatnych do przygotowania oferty, w tym zapoznanie się ze stanem technicznym istniejącego obiektu. Odbycie wizji lokalnej nie jest obowiązkowe, ale zalecane ze względu na specyfikę przedmiotu zamówienia</w:t>
      </w:r>
    </w:p>
    <w:p w:rsidR="00F059B8" w:rsidRPr="00CE1B2B" w:rsidRDefault="00F059B8" w:rsidP="00CE1B2B">
      <w:pPr>
        <w:spacing w:after="0"/>
        <w:rPr>
          <w:rFonts w:cs="Calibri"/>
        </w:rPr>
      </w:pPr>
    </w:p>
    <w:p w:rsidR="00F059B8" w:rsidRDefault="00F059B8" w:rsidP="00997628">
      <w:pPr>
        <w:pStyle w:val="dbforozdzial"/>
        <w:numPr>
          <w:ilvl w:val="0"/>
          <w:numId w:val="3"/>
        </w:numPr>
        <w:tabs>
          <w:tab w:val="left" w:pos="708"/>
        </w:tabs>
        <w:rPr>
          <w:rFonts w:ascii="Calibri" w:hAnsi="Calibri" w:cs="Calibri"/>
          <w:bCs w:val="0"/>
          <w:color w:val="000000"/>
          <w:sz w:val="22"/>
          <w:szCs w:val="22"/>
        </w:rPr>
      </w:pPr>
      <w:r w:rsidRPr="000A739C">
        <w:rPr>
          <w:rFonts w:ascii="Calibri" w:hAnsi="Calibri" w:cs="Calibri"/>
          <w:bCs w:val="0"/>
          <w:color w:val="000000"/>
          <w:sz w:val="22"/>
          <w:szCs w:val="22"/>
        </w:rPr>
        <w:t>Termin realizacji zamówienia</w:t>
      </w:r>
      <w:r>
        <w:rPr>
          <w:rFonts w:ascii="Calibri" w:hAnsi="Calibri" w:cs="Calibri"/>
          <w:bCs w:val="0"/>
          <w:color w:val="000000"/>
          <w:sz w:val="22"/>
          <w:szCs w:val="22"/>
        </w:rPr>
        <w:t xml:space="preserve">:  </w:t>
      </w:r>
    </w:p>
    <w:p w:rsidR="00F059B8" w:rsidRPr="008160A1" w:rsidRDefault="00F059B8" w:rsidP="009F4E01">
      <w:pPr>
        <w:pStyle w:val="dbforozdzial"/>
        <w:tabs>
          <w:tab w:val="clear" w:pos="360"/>
          <w:tab w:val="left" w:pos="708"/>
        </w:tabs>
        <w:ind w:left="0" w:firstLine="0"/>
        <w:rPr>
          <w:rFonts w:ascii="Calibri" w:hAnsi="Calibri" w:cs="Calibri"/>
          <w:b w:val="0"/>
          <w:bCs w:val="0"/>
          <w:color w:val="000000"/>
          <w:sz w:val="22"/>
          <w:szCs w:val="22"/>
        </w:rPr>
      </w:pPr>
      <w:r w:rsidRPr="008160A1">
        <w:rPr>
          <w:rFonts w:ascii="Calibri" w:hAnsi="Calibri" w:cs="Calibri"/>
          <w:b w:val="0"/>
          <w:sz w:val="22"/>
          <w:szCs w:val="22"/>
        </w:rPr>
        <w:t>6 miesięcy od dnia podpisania umowy</w:t>
      </w:r>
      <w:r w:rsidRPr="008160A1">
        <w:rPr>
          <w:rFonts w:ascii="Calibri" w:hAnsi="Calibri" w:cs="Calibri"/>
          <w:sz w:val="22"/>
          <w:szCs w:val="22"/>
        </w:rPr>
        <w:t>.</w:t>
      </w:r>
    </w:p>
    <w:sectPr w:rsidR="00F059B8" w:rsidRPr="008160A1" w:rsidSect="00577A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168D"/>
    <w:multiLevelType w:val="multilevel"/>
    <w:tmpl w:val="7632BC4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ind w:left="720" w:hanging="36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04683B15"/>
    <w:multiLevelType w:val="hybridMultilevel"/>
    <w:tmpl w:val="A71A24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7803B22"/>
    <w:multiLevelType w:val="hybridMultilevel"/>
    <w:tmpl w:val="8D78B75A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F0425DE"/>
    <w:multiLevelType w:val="hybridMultilevel"/>
    <w:tmpl w:val="D2267914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3323652"/>
    <w:multiLevelType w:val="hybridMultilevel"/>
    <w:tmpl w:val="6E1A7000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5EF5EC5"/>
    <w:multiLevelType w:val="hybridMultilevel"/>
    <w:tmpl w:val="E03E53A6"/>
    <w:lvl w:ilvl="0" w:tplc="235CD6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8797CA1"/>
    <w:multiLevelType w:val="hybridMultilevel"/>
    <w:tmpl w:val="E3A264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1537D0C"/>
    <w:multiLevelType w:val="hybridMultilevel"/>
    <w:tmpl w:val="AD04282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7FE66DA5"/>
    <w:multiLevelType w:val="hybridMultilevel"/>
    <w:tmpl w:val="44F25DD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413B"/>
    <w:rsid w:val="000103A8"/>
    <w:rsid w:val="00013C52"/>
    <w:rsid w:val="00015E24"/>
    <w:rsid w:val="00027BD1"/>
    <w:rsid w:val="00064486"/>
    <w:rsid w:val="00080CA1"/>
    <w:rsid w:val="000A68D9"/>
    <w:rsid w:val="000A739C"/>
    <w:rsid w:val="000C131F"/>
    <w:rsid w:val="000C3701"/>
    <w:rsid w:val="000E4FDA"/>
    <w:rsid w:val="000F0F69"/>
    <w:rsid w:val="00104047"/>
    <w:rsid w:val="0011146B"/>
    <w:rsid w:val="0012548E"/>
    <w:rsid w:val="001638CD"/>
    <w:rsid w:val="00175839"/>
    <w:rsid w:val="001A6A70"/>
    <w:rsid w:val="001B18E7"/>
    <w:rsid w:val="001E2CC3"/>
    <w:rsid w:val="001E7119"/>
    <w:rsid w:val="00201E3A"/>
    <w:rsid w:val="00211795"/>
    <w:rsid w:val="00212562"/>
    <w:rsid w:val="00223E74"/>
    <w:rsid w:val="002563E6"/>
    <w:rsid w:val="002676BF"/>
    <w:rsid w:val="00293227"/>
    <w:rsid w:val="00295349"/>
    <w:rsid w:val="00296971"/>
    <w:rsid w:val="002A3054"/>
    <w:rsid w:val="002B413B"/>
    <w:rsid w:val="002B4231"/>
    <w:rsid w:val="002D0832"/>
    <w:rsid w:val="002E4654"/>
    <w:rsid w:val="00301A0E"/>
    <w:rsid w:val="00313975"/>
    <w:rsid w:val="00353B8A"/>
    <w:rsid w:val="00360125"/>
    <w:rsid w:val="00373553"/>
    <w:rsid w:val="003A4833"/>
    <w:rsid w:val="003B1DEA"/>
    <w:rsid w:val="003B7BEE"/>
    <w:rsid w:val="00401BC5"/>
    <w:rsid w:val="00465C9E"/>
    <w:rsid w:val="00473621"/>
    <w:rsid w:val="0048737A"/>
    <w:rsid w:val="00492195"/>
    <w:rsid w:val="004A2DA3"/>
    <w:rsid w:val="004B3954"/>
    <w:rsid w:val="004D7D0E"/>
    <w:rsid w:val="004E4138"/>
    <w:rsid w:val="00536644"/>
    <w:rsid w:val="00546C63"/>
    <w:rsid w:val="00550A07"/>
    <w:rsid w:val="00577A0B"/>
    <w:rsid w:val="005A19A6"/>
    <w:rsid w:val="005B30A7"/>
    <w:rsid w:val="005C16E6"/>
    <w:rsid w:val="005D0BD9"/>
    <w:rsid w:val="005D4580"/>
    <w:rsid w:val="00610126"/>
    <w:rsid w:val="0063283E"/>
    <w:rsid w:val="006416FB"/>
    <w:rsid w:val="0066265B"/>
    <w:rsid w:val="00681A47"/>
    <w:rsid w:val="0073724A"/>
    <w:rsid w:val="007D6029"/>
    <w:rsid w:val="007F22D3"/>
    <w:rsid w:val="00800744"/>
    <w:rsid w:val="00800A70"/>
    <w:rsid w:val="00804A3F"/>
    <w:rsid w:val="00805374"/>
    <w:rsid w:val="00811F84"/>
    <w:rsid w:val="008160A1"/>
    <w:rsid w:val="008167C4"/>
    <w:rsid w:val="00824D98"/>
    <w:rsid w:val="00841899"/>
    <w:rsid w:val="00853E19"/>
    <w:rsid w:val="0085402B"/>
    <w:rsid w:val="00866338"/>
    <w:rsid w:val="008740DD"/>
    <w:rsid w:val="008820C4"/>
    <w:rsid w:val="00891DCD"/>
    <w:rsid w:val="008A0633"/>
    <w:rsid w:val="008C27F3"/>
    <w:rsid w:val="008C5DF8"/>
    <w:rsid w:val="008D16F6"/>
    <w:rsid w:val="008D674E"/>
    <w:rsid w:val="008F20C7"/>
    <w:rsid w:val="00960313"/>
    <w:rsid w:val="00967366"/>
    <w:rsid w:val="00974371"/>
    <w:rsid w:val="00990D7C"/>
    <w:rsid w:val="00997628"/>
    <w:rsid w:val="009B2DF6"/>
    <w:rsid w:val="009C3680"/>
    <w:rsid w:val="009D1D13"/>
    <w:rsid w:val="009F4E01"/>
    <w:rsid w:val="00A03D6A"/>
    <w:rsid w:val="00A21724"/>
    <w:rsid w:val="00A41459"/>
    <w:rsid w:val="00A870CE"/>
    <w:rsid w:val="00A87C2E"/>
    <w:rsid w:val="00AA7305"/>
    <w:rsid w:val="00AA73FA"/>
    <w:rsid w:val="00AF5A9D"/>
    <w:rsid w:val="00B130A7"/>
    <w:rsid w:val="00B147AB"/>
    <w:rsid w:val="00B1675F"/>
    <w:rsid w:val="00B45490"/>
    <w:rsid w:val="00B65DC6"/>
    <w:rsid w:val="00B7060E"/>
    <w:rsid w:val="00BA5951"/>
    <w:rsid w:val="00BC1A2D"/>
    <w:rsid w:val="00BC4053"/>
    <w:rsid w:val="00BD026D"/>
    <w:rsid w:val="00BE1247"/>
    <w:rsid w:val="00BE2A4B"/>
    <w:rsid w:val="00BE77D1"/>
    <w:rsid w:val="00C0377D"/>
    <w:rsid w:val="00C25CAB"/>
    <w:rsid w:val="00C310C0"/>
    <w:rsid w:val="00C37892"/>
    <w:rsid w:val="00C53442"/>
    <w:rsid w:val="00CB6542"/>
    <w:rsid w:val="00CC52DF"/>
    <w:rsid w:val="00CE1B2B"/>
    <w:rsid w:val="00CF33AA"/>
    <w:rsid w:val="00D12B5D"/>
    <w:rsid w:val="00D17EB5"/>
    <w:rsid w:val="00D23C43"/>
    <w:rsid w:val="00D5363C"/>
    <w:rsid w:val="00D548A7"/>
    <w:rsid w:val="00D561D2"/>
    <w:rsid w:val="00D726AA"/>
    <w:rsid w:val="00D96BA8"/>
    <w:rsid w:val="00DA1B95"/>
    <w:rsid w:val="00DA796F"/>
    <w:rsid w:val="00DB44E1"/>
    <w:rsid w:val="00DB4A49"/>
    <w:rsid w:val="00DE5C51"/>
    <w:rsid w:val="00DF1DC1"/>
    <w:rsid w:val="00DF4875"/>
    <w:rsid w:val="00E03379"/>
    <w:rsid w:val="00E2035E"/>
    <w:rsid w:val="00E20631"/>
    <w:rsid w:val="00E41A36"/>
    <w:rsid w:val="00E55879"/>
    <w:rsid w:val="00E62CFF"/>
    <w:rsid w:val="00E777C6"/>
    <w:rsid w:val="00E83D4B"/>
    <w:rsid w:val="00EB10E2"/>
    <w:rsid w:val="00EB5874"/>
    <w:rsid w:val="00EC4E0D"/>
    <w:rsid w:val="00EE728C"/>
    <w:rsid w:val="00F059B8"/>
    <w:rsid w:val="00F42EB0"/>
    <w:rsid w:val="00F44715"/>
    <w:rsid w:val="00F75640"/>
    <w:rsid w:val="00F80187"/>
    <w:rsid w:val="00F93197"/>
    <w:rsid w:val="00FA0B5E"/>
    <w:rsid w:val="00FB70F0"/>
    <w:rsid w:val="00FB7EB8"/>
    <w:rsid w:val="00FC23D2"/>
    <w:rsid w:val="00FD2961"/>
    <w:rsid w:val="00FE4DC1"/>
    <w:rsid w:val="00FF63A8"/>
    <w:rsid w:val="00FF6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A0B"/>
    <w:pPr>
      <w:spacing w:after="160" w:line="259" w:lineRule="auto"/>
    </w:pPr>
    <w:rPr>
      <w:kern w:val="2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E728C"/>
    <w:pPr>
      <w:ind w:left="720"/>
      <w:contextualSpacing/>
    </w:pPr>
  </w:style>
  <w:style w:type="table" w:styleId="TableGrid">
    <w:name w:val="Table Grid"/>
    <w:basedOn w:val="TableNormal"/>
    <w:uiPriority w:val="99"/>
    <w:rsid w:val="0073724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bforozdzial">
    <w:name w:val="dbforozdzial"/>
    <w:basedOn w:val="Normal"/>
    <w:uiPriority w:val="99"/>
    <w:rsid w:val="008820C4"/>
    <w:pPr>
      <w:tabs>
        <w:tab w:val="num" w:pos="360"/>
      </w:tabs>
      <w:spacing w:after="0" w:line="360" w:lineRule="auto"/>
      <w:ind w:left="360" w:hanging="360"/>
    </w:pPr>
    <w:rPr>
      <w:rFonts w:ascii="Arial" w:eastAsia="Times New Roman" w:hAnsi="Arial" w:cs="Arial"/>
      <w:b/>
      <w:bCs/>
      <w:kern w:val="0"/>
      <w:sz w:val="28"/>
      <w:szCs w:val="2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39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181</TotalTime>
  <Pages>2</Pages>
  <Words>853</Words>
  <Characters>5122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Jakubowski</dc:creator>
  <cp:keywords/>
  <dc:description/>
  <cp:lastModifiedBy>kalewandowska</cp:lastModifiedBy>
  <cp:revision>118</cp:revision>
  <cp:lastPrinted>2025-10-17T10:01:00Z</cp:lastPrinted>
  <dcterms:created xsi:type="dcterms:W3CDTF">2024-12-04T13:58:00Z</dcterms:created>
  <dcterms:modified xsi:type="dcterms:W3CDTF">2025-12-17T10:22:00Z</dcterms:modified>
</cp:coreProperties>
</file>